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CD294D" w:rsidRDefault="00926757" w:rsidP="00CD294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514B1">
              <w:rPr>
                <w:b/>
                <w:sz w:val="24"/>
                <w:szCs w:val="24"/>
              </w:rPr>
              <w:t>psychopatologia wieku dziecięcego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336D8">
              <w:rPr>
                <w:b/>
                <w:sz w:val="24"/>
                <w:szCs w:val="24"/>
              </w:rPr>
              <w:t>I/1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336D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1D3B3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F2305" w:rsidRPr="004F2305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>Wyposażenie studenta w wiedzę z zakresu zaburzeń wieku dziecięcego</w:t>
            </w:r>
          </w:p>
          <w:p w:rsidR="00926757" w:rsidRPr="00742916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 xml:space="preserve"> w zakresie diagnozy zaburzeń i działań terapeutycznych. </w:t>
            </w:r>
            <w:r>
              <w:rPr>
                <w:sz w:val="24"/>
                <w:szCs w:val="24"/>
              </w:rPr>
              <w:t>Poznanie zasad i nabycie umiejętności i</w:t>
            </w:r>
            <w:r w:rsidRPr="004F2305">
              <w:rPr>
                <w:sz w:val="24"/>
                <w:szCs w:val="24"/>
              </w:rPr>
              <w:t>nterpretowani</w:t>
            </w:r>
            <w:r>
              <w:rPr>
                <w:sz w:val="24"/>
                <w:szCs w:val="24"/>
              </w:rPr>
              <w:t>a</w:t>
            </w:r>
            <w:r w:rsidRPr="004F2305">
              <w:rPr>
                <w:sz w:val="24"/>
                <w:szCs w:val="24"/>
              </w:rPr>
              <w:t xml:space="preserve"> wyników diagnozy psychologicznej w oparciu o normy statystyczne, kulturowe, społeczne.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4F230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  <w:bookmarkStart w:id="0" w:name="_GoBack"/>
            <w:bookmarkEnd w:id="0"/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7315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2365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posiada uporządkowaną wiedzę z zakresu psychologii z uwzględnieniem terminologii i teorii oraz metod, wiedzę dotyczącą funkcjonalności i dysfunkcjonalności, harmonii i</w:t>
            </w:r>
            <w:r w:rsidR="00E72365">
              <w:rPr>
                <w:sz w:val="24"/>
                <w:szCs w:val="24"/>
              </w:rPr>
              <w:t xml:space="preserve"> </w:t>
            </w:r>
            <w:r w:rsidRPr="00E72365">
              <w:rPr>
                <w:sz w:val="24"/>
                <w:szCs w:val="24"/>
              </w:rPr>
              <w:t>dysharmonii, normy i patologii, zorientowaną na praktyczne zastosowanie; ukierunkowaną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K1P_W04</w:t>
            </w:r>
          </w:p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</w:p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E72365" w:rsidRDefault="00926757" w:rsidP="00E72365">
            <w:pPr>
              <w:rPr>
                <w:sz w:val="24"/>
                <w:szCs w:val="24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 xml:space="preserve">posiada wiedzę w zakresie diagnozowania problemów w obszarze specjalnych potrzeb edukacyjnych i rozwojowych oraz projektowania zaleceń </w:t>
            </w:r>
            <w:proofErr w:type="spellStart"/>
            <w:r w:rsidRPr="00E72365">
              <w:rPr>
                <w:sz w:val="24"/>
                <w:szCs w:val="24"/>
              </w:rPr>
              <w:t>postdiagnostycznych</w:t>
            </w:r>
            <w:proofErr w:type="spellEnd"/>
            <w:r w:rsidRPr="00E72365">
              <w:rPr>
                <w:sz w:val="24"/>
                <w:szCs w:val="24"/>
              </w:rPr>
              <w:t xml:space="preserve">  z uwzględnieniem praktycznego zastosowania;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K1P_W09</w:t>
            </w:r>
          </w:p>
          <w:p w:rsidR="00926757" w:rsidRPr="00E72365" w:rsidRDefault="00926757" w:rsidP="00E72365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926757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t xml:space="preserve">Umiejętności </w:t>
            </w:r>
            <w:r w:rsidRPr="00E72365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72365" w:rsidRDefault="00926757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shd w:val="clear" w:color="auto" w:fill="auto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posiada umiejętności badawcze oparte na założeniach metodologii badań pedagogicznych pozwalające na planowanie, konstruowanie i samodzielne prowadzenie badań oraz opracowanie i interpretowanie wyników badań, w obrębie wybranej subdyscypliny;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K1P_U04</w:t>
            </w:r>
          </w:p>
          <w:p w:rsidR="00CD5D54" w:rsidRPr="00E72365" w:rsidRDefault="00CD5D54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shd w:val="clear" w:color="auto" w:fill="auto"/>
            <w:vAlign w:val="center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potrafi w swej działalności pedagogicznej zastosować właściwe metod i procedury w celu efektywnego wykonania zadań zawodowych związanych z kierunkiem studiów;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K1P_U03</w:t>
            </w:r>
          </w:p>
          <w:p w:rsidR="00CD5D54" w:rsidRPr="00E72365" w:rsidRDefault="00CD5D54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CD5D54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CD5D54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 w:rsidRPr="00E72365">
              <w:t xml:space="preserve">ma świadomość poziomu swojej wiedzy i umiejętności, rozumie potrzebę dokształcania się i rozwoju osobistego;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E72365" w:rsidRDefault="00E72365" w:rsidP="00E72365">
            <w:pPr>
              <w:rPr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CD5D54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 w:rsidRPr="00E72365">
              <w:t>ma przekonanie o sensie zdobywania wiedzy, wartości i potrzebie podejmowania działań wspomagających rozwój ucznia/wychowanka;</w:t>
            </w:r>
            <w:r w:rsidR="00E72365" w:rsidRPr="00E72365">
              <w:rPr>
                <w:sz w:val="22"/>
                <w:szCs w:val="22"/>
              </w:rPr>
              <w:t xml:space="preserve"> wyraża przekonanie o potrzebie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E72365" w:rsidRDefault="00E72365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K1P_K03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="Calibri"/>
                <w:sz w:val="24"/>
                <w:szCs w:val="22"/>
                <w:lang w:eastAsia="en-US"/>
              </w:rPr>
              <w:t>Tradycja i historia psychopatologii wieku rozwojowego – przyczyny powstawania zaburzeń u dzieci.</w:t>
            </w:r>
          </w:p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="Calibri"/>
                <w:sz w:val="24"/>
                <w:szCs w:val="22"/>
                <w:lang w:eastAsia="en-US"/>
              </w:rPr>
              <w:t>Wyjaśnienie i rozróżnianie pojęć „symptom”, „zespół”, „choroba psychiczna”, „zaburzenie”, „epizod”.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>Psychopatologia zaburzeń zachowania (zaburzenia społeczne, zachowania agresywne, psychopatologia spożywania substancji szkodliwych przez dzieci).</w:t>
            </w:r>
            <w:r>
              <w:rPr>
                <w:rFonts w:eastAsiaTheme="minorHAns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Klasyfikacje i objawy zaburzeń procesów poznawczych – objawy osiowe i brzegowe.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Klasyfikacje i objawy zaburzeń procesów emocjonalnych i motywacyjnych – objawy osiowe i brzegowe.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Psychopatologia zachowań ruchowych  (zaburzenia lateralizacji, dysgrafia, upośledzenie ruchowe, </w:t>
            </w:r>
            <w:proofErr w:type="spellStart"/>
            <w:r w:rsidRPr="00CD5D54">
              <w:rPr>
                <w:rFonts w:eastAsiaTheme="minorHAnsi"/>
                <w:sz w:val="24"/>
                <w:szCs w:val="22"/>
                <w:lang w:eastAsia="en-US"/>
              </w:rPr>
              <w:t>dyspraksje</w:t>
            </w:r>
            <w:proofErr w:type="spellEnd"/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 dziecięce, tiki). </w:t>
            </w:r>
          </w:p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Zaburzenia lękowe i manifestacje nerwicowe u dziecka. Etiopatogeneza zaburzeń lękowych. </w:t>
            </w:r>
          </w:p>
          <w:p w:rsidR="00926757" w:rsidRPr="00742916" w:rsidRDefault="00CD5D54" w:rsidP="00E72365">
            <w:pPr>
              <w:contextualSpacing/>
              <w:rPr>
                <w:sz w:val="24"/>
                <w:szCs w:val="24"/>
              </w:rPr>
            </w:pPr>
            <w:r w:rsidRPr="00CD5D54">
              <w:rPr>
                <w:rFonts w:eastAsiaTheme="minorHAnsi"/>
                <w:sz w:val="24"/>
                <w:szCs w:val="22"/>
                <w:lang w:eastAsia="en-US"/>
              </w:rPr>
              <w:t>Epizod depresyjny a „choroba depresyjna”</w:t>
            </w:r>
            <w:r>
              <w:rPr>
                <w:rFonts w:eastAsiaTheme="minorHAnsi"/>
                <w:sz w:val="24"/>
                <w:szCs w:val="22"/>
                <w:lang w:eastAsia="en-US"/>
              </w:rPr>
              <w:t xml:space="preserve"> i dwubiegunowa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 u dziecka.  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Diagnoza w psychopatologii zależna od jej celu – etyka w diagnozie, diagnostyka sądowa, poczytalność, wiarygodność zeznań dziecka, diagnoza w PPP</w:t>
            </w:r>
            <w:r>
              <w:rPr>
                <w:rFonts w:eastAsia="Calibri"/>
                <w:sz w:val="24"/>
                <w:szCs w:val="22"/>
                <w:lang w:eastAsia="en-US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D5D54" w:rsidRPr="00742916" w:rsidTr="00F66A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shd w:val="clear" w:color="auto" w:fill="auto"/>
          </w:tcPr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C510E5">
              <w:rPr>
                <w:rFonts w:eastAsia="Calibri"/>
                <w:sz w:val="22"/>
                <w:szCs w:val="24"/>
              </w:rPr>
              <w:t>Cierpiałkowska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L.,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C510E5">
              <w:rPr>
                <w:rFonts w:eastAsia="Calibri"/>
                <w:sz w:val="22"/>
                <w:szCs w:val="24"/>
              </w:rPr>
              <w:t>, Scholar, Warszawa 2007.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C510E5">
              <w:rPr>
                <w:rFonts w:eastAsia="Calibri"/>
                <w:sz w:val="22"/>
                <w:szCs w:val="24"/>
              </w:rPr>
              <w:t>Jaklewicz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H., </w:t>
            </w:r>
            <w:proofErr w:type="spellStart"/>
            <w:r w:rsidRPr="00C510E5">
              <w:rPr>
                <w:rFonts w:eastAsia="Calibri"/>
                <w:sz w:val="22"/>
                <w:szCs w:val="24"/>
              </w:rPr>
              <w:t>Marcelli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D.,</w:t>
            </w:r>
            <w:r w:rsidRPr="00C510E5">
              <w:rPr>
                <w:rFonts w:eastAsia="Calibri"/>
                <w:i/>
                <w:sz w:val="22"/>
                <w:szCs w:val="24"/>
              </w:rPr>
              <w:t xml:space="preserve"> Psychopatologia wieku dziecięcego, </w:t>
            </w:r>
            <w:r w:rsidRPr="00C510E5">
              <w:rPr>
                <w:rFonts w:eastAsia="Calibri"/>
                <w:sz w:val="22"/>
                <w:szCs w:val="24"/>
              </w:rPr>
              <w:t xml:space="preserve">Urban &amp; Partner, </w:t>
            </w:r>
            <w:r w:rsidRPr="00C510E5">
              <w:rPr>
                <w:sz w:val="22"/>
                <w:szCs w:val="24"/>
              </w:rPr>
              <w:t>Wrocław 2012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Kendall P.C.,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Zaburzenia okresu dzieciństwa i adolescencji</w:t>
            </w:r>
            <w:r w:rsidRPr="00C510E5">
              <w:rPr>
                <w:rFonts w:eastAsia="Calibri"/>
                <w:sz w:val="22"/>
                <w:szCs w:val="24"/>
              </w:rPr>
              <w:t>, GWP, Gdańsk 2005.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Meyer R.,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C510E5">
              <w:rPr>
                <w:rFonts w:eastAsia="Calibri"/>
                <w:sz w:val="22"/>
                <w:szCs w:val="24"/>
              </w:rPr>
              <w:t>, GWP, Gdańsk 2003.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C510E5">
              <w:rPr>
                <w:rFonts w:eastAsia="Calibri"/>
                <w:sz w:val="22"/>
                <w:szCs w:val="24"/>
              </w:rPr>
              <w:t>Seligman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M., Walker E., </w:t>
            </w:r>
            <w:proofErr w:type="spellStart"/>
            <w:r w:rsidRPr="00C510E5">
              <w:rPr>
                <w:rFonts w:eastAsia="Calibri"/>
                <w:sz w:val="22"/>
                <w:szCs w:val="24"/>
              </w:rPr>
              <w:t>Rosenhan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D.,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C510E5">
              <w:rPr>
                <w:rFonts w:eastAsia="Calibri"/>
                <w:sz w:val="22"/>
                <w:szCs w:val="24"/>
              </w:rPr>
              <w:t>, Zyska i S-ka, Warszawa 2003.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Sęk H. (red.),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Psychologia kliniczna</w:t>
            </w:r>
            <w:r w:rsidRPr="00C510E5">
              <w:rPr>
                <w:rFonts w:eastAsia="Calibri"/>
                <w:sz w:val="22"/>
                <w:szCs w:val="24"/>
              </w:rPr>
              <w:t>. Tom 1-2, PWN, Warszawa 2005.</w:t>
            </w:r>
          </w:p>
        </w:tc>
      </w:tr>
      <w:tr w:rsidR="00CD5D54" w:rsidRPr="00742916" w:rsidTr="00F66AD5">
        <w:tc>
          <w:tcPr>
            <w:tcW w:w="2660" w:type="dxa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Brzezińska A., Toeplitz (red.),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Problemy etyczne w badaniach i interwencji psychologicznej wobec dzieci i młodzieży</w:t>
            </w:r>
            <w:r w:rsidRPr="00C510E5">
              <w:rPr>
                <w:rFonts w:eastAsia="Calibri"/>
                <w:sz w:val="22"/>
                <w:szCs w:val="24"/>
              </w:rPr>
              <w:t>, Wydawnictwo SWPS, Warszawa 2007.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C510E5">
              <w:rPr>
                <w:rFonts w:eastAsia="Calibri"/>
                <w:sz w:val="22"/>
                <w:szCs w:val="24"/>
              </w:rPr>
              <w:t>Rachman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S.,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Zaburzenia lękowe</w:t>
            </w:r>
            <w:r w:rsidRPr="00C510E5">
              <w:rPr>
                <w:rFonts w:eastAsia="Calibri"/>
                <w:sz w:val="22"/>
                <w:szCs w:val="24"/>
              </w:rPr>
              <w:t>, GWP, Gdańsk 2005.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lastRenderedPageBreak/>
              <w:t xml:space="preserve">Stirling J.D., </w:t>
            </w:r>
            <w:proofErr w:type="spellStart"/>
            <w:r w:rsidRPr="00C510E5">
              <w:rPr>
                <w:rFonts w:eastAsia="Calibri"/>
                <w:sz w:val="22"/>
                <w:szCs w:val="24"/>
              </w:rPr>
              <w:t>Hellewell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J.S.,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C510E5">
              <w:rPr>
                <w:rFonts w:eastAsia="Calibri"/>
                <w:sz w:val="22"/>
                <w:szCs w:val="24"/>
              </w:rPr>
              <w:t>, GWP, Gdańsk 2005.</w:t>
            </w:r>
          </w:p>
        </w:tc>
      </w:tr>
      <w:tr w:rsidR="00CD5D54" w:rsidRPr="00742916" w:rsidTr="00C275A2">
        <w:tc>
          <w:tcPr>
            <w:tcW w:w="2660" w:type="dxa"/>
          </w:tcPr>
          <w:p w:rsidR="00CD5D54" w:rsidRPr="00BC3779" w:rsidRDefault="00CD5D54" w:rsidP="00CD5D5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CD5D54" w:rsidRPr="00CD5D54" w:rsidRDefault="00CD5D54" w:rsidP="00CD5D5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5D54">
              <w:rPr>
                <w:rFonts w:eastAsiaTheme="minorHAnsi"/>
                <w:sz w:val="24"/>
                <w:szCs w:val="24"/>
                <w:lang w:eastAsia="en-US"/>
              </w:rPr>
              <w:t xml:space="preserve">Wykład z prezentacją multimedialną, dyskusja panelowa,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122"/>
        <w:gridCol w:w="2226"/>
      </w:tblGrid>
      <w:tr w:rsidR="00926757" w:rsidTr="00C510E5">
        <w:trPr>
          <w:trHeight w:val="614"/>
        </w:trPr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Tr="00E7236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Sprawdzian pisemny wiedzy, wypowiedzi w toku dyskusji.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01-03</w:t>
            </w:r>
          </w:p>
        </w:tc>
      </w:tr>
      <w:tr w:rsidR="00926757" w:rsidTr="00E72365">
        <w:tc>
          <w:tcPr>
            <w:tcW w:w="7782" w:type="dxa"/>
            <w:gridSpan w:val="2"/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Opracowanie przypadku z wykorzystaniem umiejętności praktycznych. Samodzielne rozwiązywanie problemu w oparciu o wiedzę, ocena rozpoznania sytuacji problemowej.</w:t>
            </w:r>
          </w:p>
        </w:tc>
        <w:tc>
          <w:tcPr>
            <w:tcW w:w="2226" w:type="dxa"/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01-06</w:t>
            </w:r>
          </w:p>
        </w:tc>
      </w:tr>
      <w:tr w:rsidR="00926757" w:rsidTr="00E72365">
        <w:tc>
          <w:tcPr>
            <w:tcW w:w="7782" w:type="dxa"/>
            <w:gridSpan w:val="2"/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Ocena prawidłowego korzystanie ze zdobytej wiedzy z zakresie podjętych działań zaradczych.</w:t>
            </w:r>
          </w:p>
        </w:tc>
        <w:tc>
          <w:tcPr>
            <w:tcW w:w="2226" w:type="dxa"/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01-03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D3B3D" w:rsidRDefault="00926757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1D3B3D" w:rsidRDefault="00D514B1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Zal</w:t>
            </w:r>
            <w:r w:rsidR="00923DC8" w:rsidRPr="001D3B3D">
              <w:rPr>
                <w:sz w:val="24"/>
                <w:szCs w:val="24"/>
              </w:rPr>
              <w:t>iczenie</w:t>
            </w:r>
            <w:r w:rsidR="001D3B3D" w:rsidRPr="001D3B3D">
              <w:rPr>
                <w:sz w:val="24"/>
                <w:szCs w:val="24"/>
              </w:rPr>
              <w:t xml:space="preserve"> – test z pytaniami otwartymi i wyboru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D514B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D514B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281B7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281B7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81B7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281B7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9336D8">
              <w:rPr>
                <w:b/>
                <w:sz w:val="24"/>
                <w:szCs w:val="24"/>
              </w:rPr>
              <w:t>SYCHOLOGIA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D514B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336D8"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81B77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7375"/>
    <w:multiLevelType w:val="hybridMultilevel"/>
    <w:tmpl w:val="55D42D7E"/>
    <w:lvl w:ilvl="0" w:tplc="AD262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E22126"/>
    <w:multiLevelType w:val="hybridMultilevel"/>
    <w:tmpl w:val="795A03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BE245F"/>
    <w:multiLevelType w:val="hybridMultilevel"/>
    <w:tmpl w:val="192C094E"/>
    <w:lvl w:ilvl="0" w:tplc="6F22E6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5840"/>
    <w:rsid w:val="000877D1"/>
    <w:rsid w:val="000C416A"/>
    <w:rsid w:val="000D2E2A"/>
    <w:rsid w:val="000E2293"/>
    <w:rsid w:val="00117AFC"/>
    <w:rsid w:val="001D3B3D"/>
    <w:rsid w:val="00281B77"/>
    <w:rsid w:val="00292893"/>
    <w:rsid w:val="003713ED"/>
    <w:rsid w:val="003B340F"/>
    <w:rsid w:val="003F0797"/>
    <w:rsid w:val="004B4A7C"/>
    <w:rsid w:val="004E6163"/>
    <w:rsid w:val="004F2305"/>
    <w:rsid w:val="005013AB"/>
    <w:rsid w:val="00534D91"/>
    <w:rsid w:val="006943DF"/>
    <w:rsid w:val="006C7201"/>
    <w:rsid w:val="006C7DB2"/>
    <w:rsid w:val="00900650"/>
    <w:rsid w:val="00923DC8"/>
    <w:rsid w:val="00926757"/>
    <w:rsid w:val="009336D8"/>
    <w:rsid w:val="0094566C"/>
    <w:rsid w:val="00993744"/>
    <w:rsid w:val="009B1E54"/>
    <w:rsid w:val="009D1301"/>
    <w:rsid w:val="00A82DF8"/>
    <w:rsid w:val="00AE5499"/>
    <w:rsid w:val="00B346B8"/>
    <w:rsid w:val="00B76E2B"/>
    <w:rsid w:val="00BA5CDF"/>
    <w:rsid w:val="00C510E5"/>
    <w:rsid w:val="00C94F3E"/>
    <w:rsid w:val="00CA7366"/>
    <w:rsid w:val="00CD294D"/>
    <w:rsid w:val="00CD5D54"/>
    <w:rsid w:val="00CF3D2D"/>
    <w:rsid w:val="00D514B1"/>
    <w:rsid w:val="00D62D5D"/>
    <w:rsid w:val="00D828D1"/>
    <w:rsid w:val="00E72365"/>
    <w:rsid w:val="00EA2BC5"/>
    <w:rsid w:val="00F3074D"/>
    <w:rsid w:val="00F357A7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CD5D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CA869-6A03-4EB1-8E69-24C6190B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822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2018-12-09T18:52:00Z</dcterms:created>
  <dcterms:modified xsi:type="dcterms:W3CDTF">2018-12-16T23:11:00Z</dcterms:modified>
</cp:coreProperties>
</file>